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D28F0" w14:textId="77777777" w:rsidR="00763E99" w:rsidRDefault="00763E99" w:rsidP="00FB0819">
      <w:pPr>
        <w:jc w:val="center"/>
        <w:rPr>
          <w:b/>
          <w:sz w:val="28"/>
          <w:szCs w:val="28"/>
          <w:u w:val="single"/>
          <w:lang w:val="en-US"/>
        </w:rPr>
      </w:pPr>
      <w:r w:rsidRPr="00763E99">
        <w:rPr>
          <w:noProof/>
          <w:lang w:eastAsia="en-CA"/>
        </w:rPr>
        <w:drawing>
          <wp:inline distT="0" distB="0" distL="0" distR="0" wp14:anchorId="1934DCAB" wp14:editId="4C6B67EB">
            <wp:extent cx="1895475" cy="819150"/>
            <wp:effectExtent l="0" t="0" r="9525" b="0"/>
            <wp:docPr id="2" name="Picture 1" descr="C:\Users\thompsot\Documents\rcec logo tagline.JPG"/>
            <wp:cNvGraphicFramePr/>
            <a:graphic xmlns:a="http://schemas.openxmlformats.org/drawingml/2006/main">
              <a:graphicData uri="http://schemas.openxmlformats.org/drawingml/2006/picture">
                <pic:pic xmlns:pic="http://schemas.openxmlformats.org/drawingml/2006/picture">
                  <pic:nvPicPr>
                    <pic:cNvPr id="1026" name="Picture 2" descr="C:\Users\thompsot\Documents\rcec logo taglin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8819" cy="820595"/>
                    </a:xfrm>
                    <a:prstGeom prst="rect">
                      <a:avLst/>
                    </a:prstGeom>
                    <a:noFill/>
                  </pic:spPr>
                </pic:pic>
              </a:graphicData>
            </a:graphic>
          </wp:inline>
        </w:drawing>
      </w:r>
    </w:p>
    <w:p w14:paraId="55585DAC" w14:textId="2F8B080B" w:rsidR="0074001C" w:rsidRPr="00EE1FDE" w:rsidRDefault="006E3674" w:rsidP="00FB0819">
      <w:pPr>
        <w:jc w:val="center"/>
        <w:rPr>
          <w:b/>
          <w:sz w:val="32"/>
          <w:szCs w:val="32"/>
          <w:u w:val="single"/>
          <w:lang w:val="en-US"/>
        </w:rPr>
      </w:pPr>
      <w:r w:rsidRPr="00EE1FDE">
        <w:rPr>
          <w:b/>
          <w:sz w:val="32"/>
          <w:szCs w:val="32"/>
          <w:u w:val="single"/>
          <w:lang w:val="en-US"/>
        </w:rPr>
        <w:t>20</w:t>
      </w:r>
      <w:r w:rsidR="00A65C81">
        <w:rPr>
          <w:b/>
          <w:sz w:val="32"/>
          <w:szCs w:val="32"/>
          <w:u w:val="single"/>
          <w:lang w:val="en-US"/>
        </w:rPr>
        <w:t>20</w:t>
      </w:r>
      <w:r w:rsidRPr="00EE1FDE">
        <w:rPr>
          <w:b/>
          <w:sz w:val="32"/>
          <w:szCs w:val="32"/>
          <w:u w:val="single"/>
          <w:lang w:val="en-US"/>
        </w:rPr>
        <w:t xml:space="preserve"> </w:t>
      </w:r>
      <w:r w:rsidR="00FB0819" w:rsidRPr="00EE1FDE">
        <w:rPr>
          <w:b/>
          <w:sz w:val="32"/>
          <w:szCs w:val="32"/>
          <w:u w:val="single"/>
          <w:lang w:val="en-US"/>
        </w:rPr>
        <w:t>Training C</w:t>
      </w:r>
      <w:r w:rsidR="00335D15" w:rsidRPr="00EE1FDE">
        <w:rPr>
          <w:b/>
          <w:sz w:val="32"/>
          <w:szCs w:val="32"/>
          <w:u w:val="single"/>
          <w:lang w:val="en-US"/>
        </w:rPr>
        <w:t>alenda</w:t>
      </w:r>
      <w:r w:rsidR="00763E99" w:rsidRPr="00EE1FDE">
        <w:rPr>
          <w:b/>
          <w:sz w:val="32"/>
          <w:szCs w:val="32"/>
          <w:u w:val="single"/>
          <w:lang w:val="en-US"/>
        </w:rPr>
        <w:t>r</w:t>
      </w:r>
      <w:r w:rsidR="00FC73D5">
        <w:rPr>
          <w:b/>
          <w:sz w:val="32"/>
          <w:szCs w:val="32"/>
          <w:u w:val="single"/>
          <w:lang w:val="en-US"/>
        </w:rPr>
        <w:t xml:space="preserve"> </w:t>
      </w:r>
      <w:r w:rsidR="00FC73D5" w:rsidRPr="00FC73D5">
        <w:rPr>
          <w:b/>
          <w:sz w:val="20"/>
          <w:szCs w:val="20"/>
          <w:u w:val="single"/>
          <w:lang w:val="en-US"/>
        </w:rPr>
        <w:t>(updat</w:t>
      </w:r>
      <w:r w:rsidR="00976CBE">
        <w:rPr>
          <w:b/>
          <w:sz w:val="20"/>
          <w:szCs w:val="20"/>
          <w:u w:val="single"/>
          <w:lang w:val="en-US"/>
        </w:rPr>
        <w:t>ed</w:t>
      </w:r>
      <w:r w:rsidR="007A0EB2">
        <w:rPr>
          <w:b/>
          <w:sz w:val="20"/>
          <w:szCs w:val="20"/>
          <w:u w:val="single"/>
          <w:lang w:val="en-US"/>
        </w:rPr>
        <w:t xml:space="preserve"> M</w:t>
      </w:r>
      <w:r w:rsidR="00D316B0">
        <w:rPr>
          <w:b/>
          <w:sz w:val="20"/>
          <w:szCs w:val="20"/>
          <w:u w:val="single"/>
          <w:lang w:val="en-US"/>
        </w:rPr>
        <w:t>ay 24</w:t>
      </w:r>
      <w:r w:rsidR="007A0EB2">
        <w:rPr>
          <w:b/>
          <w:sz w:val="20"/>
          <w:szCs w:val="20"/>
          <w:u w:val="single"/>
          <w:lang w:val="en-US"/>
        </w:rPr>
        <w:t>, 2020)</w:t>
      </w:r>
    </w:p>
    <w:tbl>
      <w:tblPr>
        <w:tblStyle w:val="TableGrid"/>
        <w:tblW w:w="10490" w:type="dxa"/>
        <w:tblInd w:w="-572" w:type="dxa"/>
        <w:tblLayout w:type="fixed"/>
        <w:tblLook w:val="04A0" w:firstRow="1" w:lastRow="0" w:firstColumn="1" w:lastColumn="0" w:noHBand="0" w:noVBand="1"/>
      </w:tblPr>
      <w:tblGrid>
        <w:gridCol w:w="1843"/>
        <w:gridCol w:w="1418"/>
        <w:gridCol w:w="1134"/>
        <w:gridCol w:w="1417"/>
        <w:gridCol w:w="1701"/>
        <w:gridCol w:w="2977"/>
      </w:tblGrid>
      <w:tr w:rsidR="008F18AD" w:rsidRPr="00753498" w14:paraId="6DF48536" w14:textId="77777777" w:rsidTr="001B431F">
        <w:tc>
          <w:tcPr>
            <w:tcW w:w="1843" w:type="dxa"/>
          </w:tcPr>
          <w:p w14:paraId="3A0E6B33" w14:textId="77777777" w:rsidR="008F18AD" w:rsidRPr="00861DF1" w:rsidRDefault="008F18AD">
            <w:pPr>
              <w:rPr>
                <w:b/>
                <w:color w:val="7030A0"/>
                <w:sz w:val="24"/>
                <w:szCs w:val="24"/>
                <w:lang w:val="en-US"/>
              </w:rPr>
            </w:pPr>
            <w:r w:rsidRPr="00861DF1">
              <w:rPr>
                <w:b/>
                <w:color w:val="7030A0"/>
                <w:sz w:val="24"/>
                <w:szCs w:val="24"/>
                <w:lang w:val="en-US"/>
              </w:rPr>
              <w:t>Course title</w:t>
            </w:r>
          </w:p>
        </w:tc>
        <w:tc>
          <w:tcPr>
            <w:tcW w:w="1418" w:type="dxa"/>
          </w:tcPr>
          <w:p w14:paraId="56334397" w14:textId="77777777" w:rsidR="008F18AD" w:rsidRPr="00861DF1" w:rsidRDefault="008F18AD" w:rsidP="00007FE4">
            <w:pPr>
              <w:rPr>
                <w:b/>
                <w:color w:val="7030A0"/>
                <w:sz w:val="24"/>
                <w:szCs w:val="24"/>
                <w:lang w:val="en-US"/>
              </w:rPr>
            </w:pPr>
            <w:r w:rsidRPr="00861DF1">
              <w:rPr>
                <w:b/>
                <w:color w:val="7030A0"/>
                <w:sz w:val="24"/>
                <w:szCs w:val="24"/>
                <w:lang w:val="en-US"/>
              </w:rPr>
              <w:t>Anticipated Date</w:t>
            </w:r>
          </w:p>
        </w:tc>
        <w:tc>
          <w:tcPr>
            <w:tcW w:w="1134" w:type="dxa"/>
          </w:tcPr>
          <w:p w14:paraId="07B4DD50" w14:textId="77777777" w:rsidR="008F18AD" w:rsidRPr="00861DF1" w:rsidRDefault="008F18AD">
            <w:pPr>
              <w:rPr>
                <w:b/>
                <w:color w:val="7030A0"/>
                <w:sz w:val="24"/>
                <w:szCs w:val="24"/>
                <w:lang w:val="en-US"/>
              </w:rPr>
            </w:pPr>
            <w:r w:rsidRPr="00861DF1">
              <w:rPr>
                <w:b/>
                <w:color w:val="7030A0"/>
                <w:sz w:val="24"/>
                <w:szCs w:val="24"/>
                <w:lang w:val="en-US"/>
              </w:rPr>
              <w:t>Duration</w:t>
            </w:r>
          </w:p>
        </w:tc>
        <w:tc>
          <w:tcPr>
            <w:tcW w:w="1417" w:type="dxa"/>
          </w:tcPr>
          <w:p w14:paraId="409AF74A" w14:textId="77777777" w:rsidR="008F18AD" w:rsidRPr="00861DF1" w:rsidRDefault="008C26C2">
            <w:pPr>
              <w:rPr>
                <w:b/>
                <w:color w:val="7030A0"/>
                <w:sz w:val="24"/>
                <w:szCs w:val="24"/>
                <w:lang w:val="en-US"/>
              </w:rPr>
            </w:pPr>
            <w:r w:rsidRPr="00861DF1">
              <w:rPr>
                <w:b/>
                <w:color w:val="7030A0"/>
                <w:sz w:val="24"/>
                <w:szCs w:val="24"/>
                <w:lang w:val="en-US"/>
              </w:rPr>
              <w:t>A</w:t>
            </w:r>
            <w:r w:rsidR="008F18AD" w:rsidRPr="00861DF1">
              <w:rPr>
                <w:b/>
                <w:color w:val="7030A0"/>
                <w:sz w:val="24"/>
                <w:szCs w:val="24"/>
                <w:lang w:val="en-US"/>
              </w:rPr>
              <w:t>udience</w:t>
            </w:r>
          </w:p>
        </w:tc>
        <w:tc>
          <w:tcPr>
            <w:tcW w:w="1701" w:type="dxa"/>
          </w:tcPr>
          <w:p w14:paraId="140DB8B0" w14:textId="77777777" w:rsidR="008F18AD" w:rsidRPr="00861DF1" w:rsidRDefault="008F18AD">
            <w:pPr>
              <w:rPr>
                <w:b/>
                <w:color w:val="7030A0"/>
                <w:sz w:val="24"/>
                <w:szCs w:val="24"/>
                <w:lang w:val="en-US"/>
              </w:rPr>
            </w:pPr>
            <w:r w:rsidRPr="00861DF1">
              <w:rPr>
                <w:b/>
                <w:color w:val="7030A0"/>
                <w:sz w:val="24"/>
                <w:szCs w:val="24"/>
                <w:lang w:val="en-US"/>
              </w:rPr>
              <w:t>Location</w:t>
            </w:r>
          </w:p>
        </w:tc>
        <w:tc>
          <w:tcPr>
            <w:tcW w:w="2977" w:type="dxa"/>
          </w:tcPr>
          <w:p w14:paraId="6D72F381" w14:textId="77777777" w:rsidR="008F18AD" w:rsidRPr="00861DF1" w:rsidRDefault="008C26C2">
            <w:pPr>
              <w:rPr>
                <w:b/>
                <w:color w:val="7030A0"/>
                <w:sz w:val="24"/>
                <w:szCs w:val="24"/>
                <w:lang w:val="en-US"/>
              </w:rPr>
            </w:pPr>
            <w:r w:rsidRPr="00861DF1">
              <w:rPr>
                <w:b/>
                <w:color w:val="7030A0"/>
                <w:sz w:val="24"/>
                <w:szCs w:val="24"/>
                <w:lang w:val="en-US"/>
              </w:rPr>
              <w:t>Description</w:t>
            </w:r>
          </w:p>
        </w:tc>
      </w:tr>
      <w:tr w:rsidR="006F3350" w:rsidRPr="00C71BE4" w14:paraId="245C9423" w14:textId="77777777" w:rsidTr="001B431F">
        <w:tc>
          <w:tcPr>
            <w:tcW w:w="1843" w:type="dxa"/>
          </w:tcPr>
          <w:p w14:paraId="41991D5B" w14:textId="77777777" w:rsidR="006F3350" w:rsidRPr="00BF391D" w:rsidRDefault="006F3350" w:rsidP="006F3350">
            <w:pPr>
              <w:rPr>
                <w:sz w:val="20"/>
                <w:szCs w:val="20"/>
                <w:lang w:val="en-US"/>
              </w:rPr>
            </w:pPr>
            <w:r w:rsidRPr="00BF391D">
              <w:rPr>
                <w:sz w:val="20"/>
                <w:szCs w:val="20"/>
                <w:lang w:val="en-US"/>
              </w:rPr>
              <w:t>Confrontation Management</w:t>
            </w:r>
          </w:p>
          <w:p w14:paraId="08D0FD12" w14:textId="77777777" w:rsidR="006F3350" w:rsidRPr="00BF391D" w:rsidRDefault="006F3350" w:rsidP="006F3350">
            <w:pPr>
              <w:rPr>
                <w:sz w:val="20"/>
                <w:szCs w:val="20"/>
                <w:lang w:val="en-US"/>
              </w:rPr>
            </w:pPr>
          </w:p>
        </w:tc>
        <w:tc>
          <w:tcPr>
            <w:tcW w:w="1418" w:type="dxa"/>
          </w:tcPr>
          <w:p w14:paraId="2D298933" w14:textId="77777777" w:rsidR="006F3350" w:rsidRDefault="006F3350" w:rsidP="006F3350">
            <w:pPr>
              <w:rPr>
                <w:strike/>
                <w:sz w:val="20"/>
                <w:szCs w:val="20"/>
                <w:lang w:val="en-US"/>
              </w:rPr>
            </w:pPr>
            <w:r w:rsidRPr="00C71BE4">
              <w:rPr>
                <w:strike/>
                <w:sz w:val="20"/>
                <w:szCs w:val="20"/>
                <w:highlight w:val="yellow"/>
                <w:lang w:val="en-US"/>
              </w:rPr>
              <w:t>April 9, 2020</w:t>
            </w:r>
          </w:p>
          <w:p w14:paraId="4F4DA97F" w14:textId="77777777" w:rsidR="00C71BE4" w:rsidRDefault="00C71BE4" w:rsidP="006F3350">
            <w:pPr>
              <w:rPr>
                <w:strike/>
                <w:sz w:val="20"/>
                <w:szCs w:val="20"/>
                <w:lang w:val="en-US"/>
              </w:rPr>
            </w:pPr>
          </w:p>
          <w:p w14:paraId="5489577B" w14:textId="3B75C0E0" w:rsidR="00C71BE4" w:rsidRPr="00C71BE4" w:rsidRDefault="00C71BE4" w:rsidP="006F3350">
            <w:pPr>
              <w:rPr>
                <w:sz w:val="20"/>
                <w:szCs w:val="20"/>
                <w:lang w:val="en-US"/>
              </w:rPr>
            </w:pPr>
            <w:r w:rsidRPr="00C71BE4">
              <w:rPr>
                <w:sz w:val="20"/>
                <w:szCs w:val="20"/>
                <w:highlight w:val="yellow"/>
                <w:lang w:val="en-US"/>
              </w:rPr>
              <w:t>TBD due to Coronavirus concerns</w:t>
            </w:r>
          </w:p>
        </w:tc>
        <w:tc>
          <w:tcPr>
            <w:tcW w:w="1134" w:type="dxa"/>
          </w:tcPr>
          <w:p w14:paraId="33EDEF83" w14:textId="766FD173" w:rsidR="006F3350" w:rsidRPr="00BF391D" w:rsidRDefault="006F3350" w:rsidP="006F3350">
            <w:pPr>
              <w:rPr>
                <w:sz w:val="20"/>
                <w:szCs w:val="20"/>
                <w:lang w:val="en-US"/>
              </w:rPr>
            </w:pPr>
            <w:r>
              <w:rPr>
                <w:sz w:val="20"/>
                <w:szCs w:val="20"/>
                <w:lang w:val="en-US"/>
              </w:rPr>
              <w:t>1</w:t>
            </w:r>
          </w:p>
        </w:tc>
        <w:tc>
          <w:tcPr>
            <w:tcW w:w="1417" w:type="dxa"/>
          </w:tcPr>
          <w:p w14:paraId="08F8A588" w14:textId="77777777" w:rsidR="006F3350" w:rsidRDefault="006F3350" w:rsidP="006F3350">
            <w:pPr>
              <w:rPr>
                <w:sz w:val="20"/>
                <w:szCs w:val="20"/>
                <w:lang w:val="en-US"/>
              </w:rPr>
            </w:pPr>
            <w:r w:rsidRPr="00BF391D">
              <w:rPr>
                <w:sz w:val="20"/>
                <w:szCs w:val="20"/>
                <w:lang w:val="en-US"/>
              </w:rPr>
              <w:t>Variety of personnel where confrontation may become an issue</w:t>
            </w:r>
          </w:p>
          <w:p w14:paraId="4A0A48A9" w14:textId="77777777" w:rsidR="006F3350" w:rsidRPr="00BF391D" w:rsidRDefault="006F3350" w:rsidP="006F3350">
            <w:pPr>
              <w:rPr>
                <w:sz w:val="20"/>
                <w:szCs w:val="20"/>
                <w:lang w:val="en-US"/>
              </w:rPr>
            </w:pPr>
          </w:p>
        </w:tc>
        <w:tc>
          <w:tcPr>
            <w:tcW w:w="1701" w:type="dxa"/>
          </w:tcPr>
          <w:p w14:paraId="07924D98" w14:textId="14BE1271" w:rsidR="006F3350" w:rsidRDefault="006F3350" w:rsidP="006F3350">
            <w:pPr>
              <w:rPr>
                <w:sz w:val="20"/>
                <w:szCs w:val="20"/>
                <w:lang w:val="en-US"/>
              </w:rPr>
            </w:pPr>
            <w:r>
              <w:rPr>
                <w:sz w:val="20"/>
                <w:szCs w:val="20"/>
                <w:lang w:val="en-US"/>
              </w:rPr>
              <w:t>TBD</w:t>
            </w:r>
          </w:p>
        </w:tc>
        <w:tc>
          <w:tcPr>
            <w:tcW w:w="2977" w:type="dxa"/>
          </w:tcPr>
          <w:p w14:paraId="30B73CAC" w14:textId="77777777" w:rsidR="006F3350" w:rsidRPr="00BF391D" w:rsidRDefault="006F3350" w:rsidP="006F3350">
            <w:pPr>
              <w:rPr>
                <w:sz w:val="20"/>
                <w:szCs w:val="20"/>
                <w:lang w:val="en-US"/>
              </w:rPr>
            </w:pPr>
            <w:r w:rsidRPr="00BF391D">
              <w:rPr>
                <w:sz w:val="20"/>
                <w:szCs w:val="20"/>
                <w:lang w:val="en-US"/>
              </w:rPr>
              <w:t xml:space="preserve">Program discusses the communication process, controlling anxiety and de-escalating techniques.  There is a group exercise and physically acting out scenarios.  </w:t>
            </w:r>
          </w:p>
          <w:p w14:paraId="12B77DAA" w14:textId="77777777" w:rsidR="006F3350" w:rsidRPr="00BF391D" w:rsidRDefault="006F3350" w:rsidP="006F3350">
            <w:pPr>
              <w:rPr>
                <w:sz w:val="20"/>
                <w:szCs w:val="20"/>
                <w:lang w:val="en-US"/>
              </w:rPr>
            </w:pPr>
          </w:p>
        </w:tc>
      </w:tr>
      <w:tr w:rsidR="006F3350" w:rsidRPr="00753498" w14:paraId="18C30AF4" w14:textId="77777777" w:rsidTr="001B431F">
        <w:tc>
          <w:tcPr>
            <w:tcW w:w="1843" w:type="dxa"/>
          </w:tcPr>
          <w:p w14:paraId="697C3018" w14:textId="77777777" w:rsidR="006F3350" w:rsidRPr="00BF391D" w:rsidRDefault="006F3350" w:rsidP="006F3350">
            <w:pPr>
              <w:rPr>
                <w:sz w:val="20"/>
                <w:szCs w:val="20"/>
                <w:lang w:val="en-US"/>
              </w:rPr>
            </w:pPr>
            <w:r w:rsidRPr="00BF391D">
              <w:rPr>
                <w:sz w:val="20"/>
                <w:szCs w:val="20"/>
                <w:lang w:val="en-US"/>
              </w:rPr>
              <w:t>Introductory tactical use of the internet</w:t>
            </w:r>
          </w:p>
          <w:p w14:paraId="33A6CBE1" w14:textId="77777777" w:rsidR="006F3350" w:rsidRDefault="006F3350" w:rsidP="006F3350">
            <w:pPr>
              <w:rPr>
                <w:sz w:val="20"/>
                <w:szCs w:val="20"/>
                <w:lang w:val="en-US"/>
              </w:rPr>
            </w:pPr>
          </w:p>
          <w:p w14:paraId="292294BB" w14:textId="224B090C" w:rsidR="006F3350" w:rsidRPr="00BF391D" w:rsidRDefault="006F3350" w:rsidP="006F3350">
            <w:pPr>
              <w:rPr>
                <w:sz w:val="20"/>
                <w:szCs w:val="20"/>
                <w:lang w:val="en-US"/>
              </w:rPr>
            </w:pPr>
          </w:p>
        </w:tc>
        <w:tc>
          <w:tcPr>
            <w:tcW w:w="1418" w:type="dxa"/>
          </w:tcPr>
          <w:p w14:paraId="3B4742D4" w14:textId="77777777" w:rsidR="006F3350" w:rsidRPr="00C71BE4" w:rsidRDefault="006F3350" w:rsidP="006F3350">
            <w:pPr>
              <w:rPr>
                <w:strike/>
                <w:sz w:val="20"/>
                <w:szCs w:val="20"/>
                <w:lang w:val="en-US"/>
              </w:rPr>
            </w:pPr>
            <w:r w:rsidRPr="00C71BE4">
              <w:rPr>
                <w:strike/>
                <w:sz w:val="20"/>
                <w:szCs w:val="20"/>
                <w:highlight w:val="yellow"/>
                <w:lang w:val="en-US"/>
              </w:rPr>
              <w:t>May 11, 2020</w:t>
            </w:r>
          </w:p>
          <w:p w14:paraId="7D0E2C0A" w14:textId="77777777" w:rsidR="00C71BE4" w:rsidRDefault="00C71BE4" w:rsidP="006F3350">
            <w:pPr>
              <w:rPr>
                <w:sz w:val="20"/>
                <w:szCs w:val="20"/>
                <w:lang w:val="en-US"/>
              </w:rPr>
            </w:pPr>
          </w:p>
          <w:p w14:paraId="2601FCD2" w14:textId="77777777" w:rsidR="00C71BE4" w:rsidRDefault="00C71BE4" w:rsidP="006F3350">
            <w:pPr>
              <w:rPr>
                <w:sz w:val="20"/>
                <w:szCs w:val="20"/>
                <w:lang w:val="en-US"/>
              </w:rPr>
            </w:pPr>
            <w:r w:rsidRPr="00C71BE4">
              <w:rPr>
                <w:sz w:val="20"/>
                <w:szCs w:val="20"/>
                <w:highlight w:val="yellow"/>
                <w:lang w:val="en-US"/>
              </w:rPr>
              <w:t>TBD due to coronavirus concerns</w:t>
            </w:r>
          </w:p>
          <w:p w14:paraId="2EB084D4" w14:textId="3BAE3A5E" w:rsidR="00C71BE4" w:rsidRPr="00BF391D" w:rsidRDefault="00C71BE4" w:rsidP="006F3350">
            <w:pPr>
              <w:rPr>
                <w:sz w:val="20"/>
                <w:szCs w:val="20"/>
                <w:lang w:val="en-US"/>
              </w:rPr>
            </w:pPr>
          </w:p>
        </w:tc>
        <w:tc>
          <w:tcPr>
            <w:tcW w:w="1134" w:type="dxa"/>
          </w:tcPr>
          <w:p w14:paraId="44E48A03" w14:textId="2EFCB9F7" w:rsidR="006F3350" w:rsidRPr="00BF391D" w:rsidRDefault="006F3350" w:rsidP="006F3350">
            <w:pPr>
              <w:rPr>
                <w:sz w:val="20"/>
                <w:szCs w:val="20"/>
                <w:lang w:val="en-US"/>
              </w:rPr>
            </w:pPr>
            <w:r w:rsidRPr="00BF391D">
              <w:rPr>
                <w:sz w:val="20"/>
                <w:szCs w:val="20"/>
                <w:lang w:val="en-US"/>
              </w:rPr>
              <w:t>1 day</w:t>
            </w:r>
          </w:p>
        </w:tc>
        <w:tc>
          <w:tcPr>
            <w:tcW w:w="1417" w:type="dxa"/>
          </w:tcPr>
          <w:p w14:paraId="23F448D1" w14:textId="77777777" w:rsidR="006F3350" w:rsidRDefault="006F3350" w:rsidP="006F3350">
            <w:pPr>
              <w:rPr>
                <w:sz w:val="20"/>
                <w:szCs w:val="20"/>
                <w:lang w:val="en-US"/>
              </w:rPr>
            </w:pPr>
            <w:r w:rsidRPr="00BF391D">
              <w:rPr>
                <w:sz w:val="20"/>
                <w:szCs w:val="20"/>
                <w:lang w:val="en-US"/>
              </w:rPr>
              <w:t>Investigators and enforcement personnel</w:t>
            </w:r>
          </w:p>
          <w:p w14:paraId="0E8F7C7F" w14:textId="2FB3E8BC" w:rsidR="006F3350" w:rsidRPr="00BF391D" w:rsidRDefault="006F3350" w:rsidP="006F3350">
            <w:pPr>
              <w:rPr>
                <w:sz w:val="20"/>
                <w:szCs w:val="20"/>
                <w:lang w:val="en-US"/>
              </w:rPr>
            </w:pPr>
          </w:p>
        </w:tc>
        <w:tc>
          <w:tcPr>
            <w:tcW w:w="1701" w:type="dxa"/>
          </w:tcPr>
          <w:p w14:paraId="31A7BABA" w14:textId="4593A9BE" w:rsidR="006F3350" w:rsidRPr="00FE1C9E" w:rsidRDefault="006F3350" w:rsidP="006F3350">
            <w:pPr>
              <w:rPr>
                <w:sz w:val="20"/>
                <w:szCs w:val="20"/>
                <w:lang w:val="en-US"/>
              </w:rPr>
            </w:pPr>
            <w:r>
              <w:rPr>
                <w:sz w:val="20"/>
                <w:szCs w:val="20"/>
                <w:lang w:val="en-US"/>
              </w:rPr>
              <w:t>Offices of FP Canada, 375 University Ave., 4</w:t>
            </w:r>
            <w:r w:rsidRPr="00A26896">
              <w:rPr>
                <w:sz w:val="20"/>
                <w:szCs w:val="20"/>
                <w:vertAlign w:val="superscript"/>
                <w:lang w:val="en-US"/>
              </w:rPr>
              <w:t>th</w:t>
            </w:r>
            <w:r>
              <w:rPr>
                <w:sz w:val="20"/>
                <w:szCs w:val="20"/>
                <w:lang w:val="en-US"/>
              </w:rPr>
              <w:t xml:space="preserve"> floor, Toronto</w:t>
            </w:r>
          </w:p>
        </w:tc>
        <w:tc>
          <w:tcPr>
            <w:tcW w:w="2977" w:type="dxa"/>
          </w:tcPr>
          <w:p w14:paraId="2D71D98D" w14:textId="72C3137D" w:rsidR="006F3350" w:rsidRDefault="006F3350" w:rsidP="006F3350">
            <w:pPr>
              <w:rPr>
                <w:sz w:val="20"/>
                <w:szCs w:val="20"/>
                <w:lang w:val="en-US"/>
              </w:rPr>
            </w:pPr>
            <w:r w:rsidRPr="00BF391D">
              <w:rPr>
                <w:sz w:val="20"/>
                <w:szCs w:val="20"/>
                <w:lang w:val="en-US"/>
              </w:rPr>
              <w:t>Candidates introduced to reactive vs</w:t>
            </w:r>
            <w:r>
              <w:rPr>
                <w:sz w:val="20"/>
                <w:szCs w:val="20"/>
                <w:lang w:val="en-US"/>
              </w:rPr>
              <w:t xml:space="preserve">. </w:t>
            </w:r>
            <w:r w:rsidRPr="00BF391D">
              <w:rPr>
                <w:sz w:val="20"/>
                <w:szCs w:val="20"/>
                <w:lang w:val="en-US"/>
              </w:rPr>
              <w:t>proactive use of the internet and where to go to find the desired information</w:t>
            </w:r>
          </w:p>
          <w:p w14:paraId="0AB339F4" w14:textId="543C6EC2" w:rsidR="006F3350" w:rsidRPr="00BF391D" w:rsidRDefault="006F3350" w:rsidP="006F3350">
            <w:pPr>
              <w:rPr>
                <w:sz w:val="20"/>
                <w:szCs w:val="20"/>
                <w:lang w:val="en-US"/>
              </w:rPr>
            </w:pPr>
          </w:p>
        </w:tc>
      </w:tr>
      <w:tr w:rsidR="006F3350" w:rsidRPr="00753498" w14:paraId="7FA03D44" w14:textId="77777777" w:rsidTr="001B431F">
        <w:tc>
          <w:tcPr>
            <w:tcW w:w="1843" w:type="dxa"/>
          </w:tcPr>
          <w:p w14:paraId="4D784C66" w14:textId="77777777" w:rsidR="006F3350" w:rsidRPr="00BF391D" w:rsidRDefault="006F3350" w:rsidP="006F3350">
            <w:pPr>
              <w:rPr>
                <w:sz w:val="20"/>
                <w:szCs w:val="20"/>
                <w:lang w:val="en-US"/>
              </w:rPr>
            </w:pPr>
            <w:r w:rsidRPr="00BF391D">
              <w:rPr>
                <w:sz w:val="20"/>
                <w:szCs w:val="20"/>
                <w:lang w:val="en-US"/>
              </w:rPr>
              <w:t>Crossing the Rubicon</w:t>
            </w:r>
          </w:p>
          <w:p w14:paraId="1B17CF28" w14:textId="77777777" w:rsidR="006F3350" w:rsidRPr="00BF391D" w:rsidRDefault="006F3350" w:rsidP="006F3350">
            <w:pPr>
              <w:rPr>
                <w:sz w:val="20"/>
                <w:szCs w:val="20"/>
                <w:lang w:val="en-US"/>
              </w:rPr>
            </w:pPr>
            <w:r w:rsidRPr="00BF391D">
              <w:rPr>
                <w:sz w:val="20"/>
                <w:szCs w:val="20"/>
                <w:lang w:val="en-US"/>
              </w:rPr>
              <w:t xml:space="preserve">       </w:t>
            </w:r>
          </w:p>
          <w:p w14:paraId="2F923A56" w14:textId="4EC874A0" w:rsidR="006F3350" w:rsidRPr="00BF391D" w:rsidRDefault="006F3350" w:rsidP="006F3350">
            <w:pPr>
              <w:rPr>
                <w:sz w:val="20"/>
                <w:szCs w:val="20"/>
                <w:lang w:val="en-US"/>
              </w:rPr>
            </w:pPr>
            <w:r w:rsidRPr="00BF391D">
              <w:rPr>
                <w:color w:val="00B050"/>
                <w:sz w:val="20"/>
                <w:szCs w:val="20"/>
                <w:lang w:val="en-US"/>
              </w:rPr>
              <w:t xml:space="preserve">         </w:t>
            </w:r>
            <w:r w:rsidRPr="00BF391D">
              <w:rPr>
                <w:sz w:val="20"/>
                <w:szCs w:val="20"/>
                <w:lang w:val="en-US"/>
              </w:rPr>
              <w:t xml:space="preserve">         </w:t>
            </w:r>
          </w:p>
          <w:p w14:paraId="17D4CDA9" w14:textId="77777777" w:rsidR="006F3350" w:rsidRPr="00BF391D" w:rsidRDefault="006F3350" w:rsidP="006F3350">
            <w:pPr>
              <w:rPr>
                <w:sz w:val="20"/>
                <w:szCs w:val="20"/>
                <w:lang w:val="en-US"/>
              </w:rPr>
            </w:pPr>
          </w:p>
        </w:tc>
        <w:tc>
          <w:tcPr>
            <w:tcW w:w="1418" w:type="dxa"/>
          </w:tcPr>
          <w:p w14:paraId="2C907007" w14:textId="77777777" w:rsidR="006F3350" w:rsidRPr="00D316B0" w:rsidRDefault="006F3350" w:rsidP="006F3350">
            <w:pPr>
              <w:rPr>
                <w:strike/>
                <w:sz w:val="20"/>
                <w:szCs w:val="20"/>
                <w:lang w:val="en-US"/>
              </w:rPr>
            </w:pPr>
            <w:r w:rsidRPr="00D316B0">
              <w:rPr>
                <w:strike/>
                <w:sz w:val="20"/>
                <w:szCs w:val="20"/>
                <w:lang w:val="en-US"/>
              </w:rPr>
              <w:t>June 9, 2020</w:t>
            </w:r>
          </w:p>
          <w:p w14:paraId="2C6D216B" w14:textId="77777777" w:rsidR="00D316B0" w:rsidRDefault="00D316B0" w:rsidP="006F3350">
            <w:pPr>
              <w:rPr>
                <w:sz w:val="20"/>
                <w:szCs w:val="20"/>
                <w:lang w:val="en-US"/>
              </w:rPr>
            </w:pPr>
          </w:p>
          <w:p w14:paraId="19B8694B" w14:textId="77777777" w:rsidR="00D316B0" w:rsidRDefault="00D316B0" w:rsidP="00D316B0">
            <w:pPr>
              <w:rPr>
                <w:sz w:val="20"/>
                <w:szCs w:val="20"/>
                <w:lang w:val="en-US"/>
              </w:rPr>
            </w:pPr>
            <w:r w:rsidRPr="00C71BE4">
              <w:rPr>
                <w:sz w:val="20"/>
                <w:szCs w:val="20"/>
                <w:highlight w:val="yellow"/>
                <w:lang w:val="en-US"/>
              </w:rPr>
              <w:t>TBD due to coronavirus concerns</w:t>
            </w:r>
          </w:p>
          <w:p w14:paraId="6C597192" w14:textId="3C26829A" w:rsidR="00D316B0" w:rsidRPr="00BF391D" w:rsidRDefault="00D316B0" w:rsidP="006F3350">
            <w:pPr>
              <w:rPr>
                <w:sz w:val="20"/>
                <w:szCs w:val="20"/>
                <w:lang w:val="en-US"/>
              </w:rPr>
            </w:pPr>
          </w:p>
        </w:tc>
        <w:tc>
          <w:tcPr>
            <w:tcW w:w="1134" w:type="dxa"/>
          </w:tcPr>
          <w:p w14:paraId="3E66EEB1" w14:textId="77777777" w:rsidR="006F3350" w:rsidRPr="00BF391D" w:rsidRDefault="006F3350" w:rsidP="006F3350">
            <w:pPr>
              <w:rPr>
                <w:sz w:val="20"/>
                <w:szCs w:val="20"/>
                <w:lang w:val="en-US"/>
              </w:rPr>
            </w:pPr>
            <w:r w:rsidRPr="00BF391D">
              <w:rPr>
                <w:sz w:val="20"/>
                <w:szCs w:val="20"/>
                <w:lang w:val="en-US"/>
              </w:rPr>
              <w:t>1</w:t>
            </w:r>
          </w:p>
        </w:tc>
        <w:tc>
          <w:tcPr>
            <w:tcW w:w="1417" w:type="dxa"/>
          </w:tcPr>
          <w:p w14:paraId="0DDFD17F" w14:textId="54B5D889" w:rsidR="006F3350" w:rsidRPr="00E45DF9" w:rsidRDefault="006F3350" w:rsidP="006F3350">
            <w:pPr>
              <w:rPr>
                <w:sz w:val="20"/>
                <w:szCs w:val="20"/>
                <w:lang w:val="en-US"/>
              </w:rPr>
            </w:pPr>
            <w:r w:rsidRPr="00E45DF9">
              <w:rPr>
                <w:sz w:val="20"/>
                <w:szCs w:val="20"/>
                <w:lang w:val="en-US"/>
              </w:rPr>
              <w:t>Enforcement and compliance personnel</w:t>
            </w:r>
          </w:p>
        </w:tc>
        <w:tc>
          <w:tcPr>
            <w:tcW w:w="1701" w:type="dxa"/>
          </w:tcPr>
          <w:p w14:paraId="68A6BD38" w14:textId="77777777" w:rsidR="006F3350" w:rsidRPr="00BF391D" w:rsidRDefault="006F3350" w:rsidP="006F3350">
            <w:pPr>
              <w:rPr>
                <w:sz w:val="20"/>
                <w:szCs w:val="20"/>
                <w:lang w:val="en-US"/>
              </w:rPr>
            </w:pPr>
            <w:r w:rsidRPr="00BF391D">
              <w:rPr>
                <w:sz w:val="20"/>
                <w:szCs w:val="20"/>
                <w:lang w:val="en-US"/>
              </w:rPr>
              <w:t>Offices of the AGCO, 90 Sheppard Ave. E., Toronto</w:t>
            </w:r>
          </w:p>
          <w:p w14:paraId="5FB600F5" w14:textId="77777777" w:rsidR="006F3350" w:rsidRPr="00BF391D" w:rsidRDefault="006F3350" w:rsidP="006F3350">
            <w:pPr>
              <w:rPr>
                <w:sz w:val="20"/>
                <w:szCs w:val="20"/>
                <w:lang w:val="en-US"/>
              </w:rPr>
            </w:pPr>
          </w:p>
        </w:tc>
        <w:tc>
          <w:tcPr>
            <w:tcW w:w="2977" w:type="dxa"/>
          </w:tcPr>
          <w:p w14:paraId="644F9B42" w14:textId="77777777" w:rsidR="006F3350" w:rsidRPr="00BF391D" w:rsidRDefault="006F3350" w:rsidP="006F3350">
            <w:pPr>
              <w:rPr>
                <w:sz w:val="20"/>
                <w:szCs w:val="20"/>
                <w:lang w:val="en-US"/>
              </w:rPr>
            </w:pPr>
            <w:r w:rsidRPr="00BF391D">
              <w:rPr>
                <w:sz w:val="20"/>
                <w:szCs w:val="20"/>
                <w:lang w:val="en-US"/>
              </w:rPr>
              <w:t xml:space="preserve">This technical program identifies regulatory actions, criminal actions, and when a regulatory action turns into a criminal investigation. There will be discussions on relevant case law and where we stand today.  </w:t>
            </w:r>
          </w:p>
          <w:p w14:paraId="5D040E2A" w14:textId="77777777" w:rsidR="006F3350" w:rsidRPr="00BF391D" w:rsidRDefault="006F3350" w:rsidP="006F3350">
            <w:pPr>
              <w:rPr>
                <w:sz w:val="20"/>
                <w:szCs w:val="20"/>
                <w:lang w:val="en-US"/>
              </w:rPr>
            </w:pPr>
          </w:p>
        </w:tc>
      </w:tr>
      <w:tr w:rsidR="006F3350" w:rsidRPr="00753498" w14:paraId="20F0EED8" w14:textId="77777777" w:rsidTr="001B431F">
        <w:tc>
          <w:tcPr>
            <w:tcW w:w="1843" w:type="dxa"/>
          </w:tcPr>
          <w:p w14:paraId="0F4CC303" w14:textId="77777777" w:rsidR="006F3350" w:rsidRPr="00BF391D" w:rsidRDefault="006F3350" w:rsidP="006F3350">
            <w:pPr>
              <w:rPr>
                <w:sz w:val="20"/>
                <w:szCs w:val="20"/>
                <w:lang w:val="en-US"/>
              </w:rPr>
            </w:pPr>
            <w:r w:rsidRPr="00BF391D">
              <w:rPr>
                <w:sz w:val="20"/>
                <w:szCs w:val="20"/>
                <w:lang w:val="en-US"/>
              </w:rPr>
              <w:t>Regulatory Compliance Fundamentals</w:t>
            </w:r>
          </w:p>
          <w:p w14:paraId="0EE20AAE" w14:textId="77777777" w:rsidR="006F3350" w:rsidRPr="00BF391D" w:rsidRDefault="006F3350" w:rsidP="006F3350">
            <w:pPr>
              <w:rPr>
                <w:sz w:val="20"/>
                <w:szCs w:val="20"/>
                <w:lang w:val="en-US"/>
              </w:rPr>
            </w:pPr>
          </w:p>
        </w:tc>
        <w:tc>
          <w:tcPr>
            <w:tcW w:w="1418" w:type="dxa"/>
          </w:tcPr>
          <w:p w14:paraId="10C07EB8" w14:textId="6015DF74" w:rsidR="006F3350" w:rsidRPr="0093788A" w:rsidRDefault="006F3350" w:rsidP="006F3350">
            <w:pPr>
              <w:rPr>
                <w:iCs/>
                <w:sz w:val="20"/>
                <w:szCs w:val="20"/>
                <w:lang w:val="en-US"/>
              </w:rPr>
            </w:pPr>
            <w:r>
              <w:rPr>
                <w:iCs/>
                <w:sz w:val="20"/>
                <w:szCs w:val="20"/>
                <w:lang w:val="en-US"/>
              </w:rPr>
              <w:t>October 26, 2020</w:t>
            </w:r>
          </w:p>
        </w:tc>
        <w:tc>
          <w:tcPr>
            <w:tcW w:w="1134" w:type="dxa"/>
          </w:tcPr>
          <w:p w14:paraId="43CA1396" w14:textId="4A4905D0" w:rsidR="006F3350" w:rsidRPr="00BF391D" w:rsidRDefault="006F3350" w:rsidP="006F3350">
            <w:pPr>
              <w:rPr>
                <w:sz w:val="20"/>
                <w:szCs w:val="20"/>
                <w:lang w:val="en-US"/>
              </w:rPr>
            </w:pPr>
            <w:r>
              <w:rPr>
                <w:sz w:val="20"/>
                <w:szCs w:val="20"/>
                <w:lang w:val="en-US"/>
              </w:rPr>
              <w:t>5 days</w:t>
            </w:r>
          </w:p>
        </w:tc>
        <w:tc>
          <w:tcPr>
            <w:tcW w:w="1417" w:type="dxa"/>
          </w:tcPr>
          <w:p w14:paraId="67CDF2B1" w14:textId="77777777" w:rsidR="006F3350" w:rsidRDefault="006F3350" w:rsidP="006F3350">
            <w:pPr>
              <w:rPr>
                <w:sz w:val="20"/>
                <w:szCs w:val="20"/>
                <w:lang w:val="en-US"/>
              </w:rPr>
            </w:pPr>
            <w:r w:rsidRPr="00BF391D">
              <w:rPr>
                <w:sz w:val="20"/>
                <w:szCs w:val="20"/>
                <w:lang w:val="en-US"/>
              </w:rPr>
              <w:t>New Investigators, Inspectors, &amp; compliance staff</w:t>
            </w:r>
          </w:p>
          <w:p w14:paraId="3A5E4AEB" w14:textId="7B397F1A" w:rsidR="006F3350" w:rsidRPr="00BF391D" w:rsidRDefault="006F3350" w:rsidP="006F3350">
            <w:pPr>
              <w:rPr>
                <w:sz w:val="20"/>
                <w:szCs w:val="20"/>
                <w:lang w:val="en-US"/>
              </w:rPr>
            </w:pPr>
          </w:p>
        </w:tc>
        <w:tc>
          <w:tcPr>
            <w:tcW w:w="1701" w:type="dxa"/>
          </w:tcPr>
          <w:p w14:paraId="0AEDB885" w14:textId="77777777" w:rsidR="006F3350" w:rsidRDefault="006F3350" w:rsidP="006F3350">
            <w:pPr>
              <w:rPr>
                <w:sz w:val="20"/>
                <w:szCs w:val="20"/>
                <w:lang w:val="en-US"/>
              </w:rPr>
            </w:pPr>
            <w:r w:rsidRPr="00E45DF9">
              <w:rPr>
                <w:sz w:val="20"/>
                <w:szCs w:val="20"/>
                <w:lang w:val="en-US"/>
              </w:rPr>
              <w:t>Offices of The Alcohol and Gaming Commission, 90 Sheppard Ave. E., Toronto</w:t>
            </w:r>
          </w:p>
          <w:p w14:paraId="4E6CE2A7" w14:textId="2C6A73EB" w:rsidR="006F3350" w:rsidRPr="00E45DF9" w:rsidRDefault="006F3350" w:rsidP="006F3350">
            <w:pPr>
              <w:rPr>
                <w:sz w:val="20"/>
                <w:szCs w:val="20"/>
                <w:lang w:val="en-US"/>
              </w:rPr>
            </w:pPr>
          </w:p>
        </w:tc>
        <w:tc>
          <w:tcPr>
            <w:tcW w:w="2977" w:type="dxa"/>
          </w:tcPr>
          <w:p w14:paraId="423FECDF" w14:textId="2B243586" w:rsidR="006F3350" w:rsidRPr="00BF391D" w:rsidRDefault="006F3350" w:rsidP="006F3350">
            <w:pPr>
              <w:rPr>
                <w:sz w:val="20"/>
                <w:szCs w:val="20"/>
                <w:lang w:val="en-US"/>
              </w:rPr>
            </w:pPr>
            <w:r w:rsidRPr="00BF391D">
              <w:rPr>
                <w:sz w:val="20"/>
                <w:szCs w:val="20"/>
                <w:lang w:val="en-US"/>
              </w:rPr>
              <w:t xml:space="preserve">40-hour Introduction training program specifically designed for enforcement personnel  </w:t>
            </w:r>
          </w:p>
          <w:p w14:paraId="296EF670" w14:textId="77777777" w:rsidR="006F3350" w:rsidRPr="00BF391D" w:rsidRDefault="006F3350" w:rsidP="006F3350">
            <w:pPr>
              <w:rPr>
                <w:sz w:val="20"/>
                <w:szCs w:val="20"/>
                <w:lang w:val="en-US"/>
              </w:rPr>
            </w:pPr>
          </w:p>
        </w:tc>
      </w:tr>
      <w:tr w:rsidR="006F3350" w14:paraId="4402ADCF" w14:textId="77777777" w:rsidTr="001B431F">
        <w:tc>
          <w:tcPr>
            <w:tcW w:w="1843" w:type="dxa"/>
          </w:tcPr>
          <w:p w14:paraId="5B22BBCE" w14:textId="4658C7BB" w:rsidR="006F3350" w:rsidRPr="000F797C" w:rsidRDefault="006F3350" w:rsidP="006F3350">
            <w:pPr>
              <w:rPr>
                <w:sz w:val="20"/>
                <w:szCs w:val="20"/>
                <w:lang w:val="en-US"/>
              </w:rPr>
            </w:pPr>
            <w:r w:rsidRPr="000F797C">
              <w:rPr>
                <w:sz w:val="20"/>
                <w:szCs w:val="20"/>
                <w:lang w:val="en-US"/>
              </w:rPr>
              <w:t>Advanced Interviewing and Note Taking</w:t>
            </w:r>
          </w:p>
        </w:tc>
        <w:tc>
          <w:tcPr>
            <w:tcW w:w="1418" w:type="dxa"/>
          </w:tcPr>
          <w:p w14:paraId="5E8BA25A" w14:textId="57A3828E" w:rsidR="006F3350" w:rsidRPr="000F797C" w:rsidRDefault="006F3350" w:rsidP="006F3350">
            <w:pPr>
              <w:rPr>
                <w:sz w:val="20"/>
                <w:szCs w:val="20"/>
                <w:lang w:val="en-US"/>
              </w:rPr>
            </w:pPr>
            <w:r>
              <w:rPr>
                <w:sz w:val="20"/>
                <w:szCs w:val="20"/>
                <w:lang w:val="en-US"/>
              </w:rPr>
              <w:t>Late Fall 2020</w:t>
            </w:r>
          </w:p>
        </w:tc>
        <w:tc>
          <w:tcPr>
            <w:tcW w:w="1134" w:type="dxa"/>
          </w:tcPr>
          <w:p w14:paraId="2DE052B4" w14:textId="7C4EB9CA" w:rsidR="006F3350" w:rsidRDefault="006F3350" w:rsidP="006F3350">
            <w:pPr>
              <w:rPr>
                <w:sz w:val="21"/>
                <w:szCs w:val="21"/>
                <w:lang w:val="en-US"/>
              </w:rPr>
            </w:pPr>
            <w:r>
              <w:rPr>
                <w:sz w:val="21"/>
                <w:szCs w:val="21"/>
                <w:lang w:val="en-US"/>
              </w:rPr>
              <w:t>2 days</w:t>
            </w:r>
          </w:p>
        </w:tc>
        <w:tc>
          <w:tcPr>
            <w:tcW w:w="1417" w:type="dxa"/>
          </w:tcPr>
          <w:p w14:paraId="11D18E79" w14:textId="2F819F7B" w:rsidR="006F3350" w:rsidRPr="000F797C" w:rsidRDefault="006F3350" w:rsidP="006F3350">
            <w:pPr>
              <w:rPr>
                <w:sz w:val="20"/>
                <w:szCs w:val="20"/>
                <w:lang w:val="en-US"/>
              </w:rPr>
            </w:pPr>
            <w:r w:rsidRPr="000F797C">
              <w:rPr>
                <w:sz w:val="20"/>
                <w:szCs w:val="20"/>
                <w:lang w:val="en-US"/>
              </w:rPr>
              <w:t>Seasoned enforcement personnel and anyone other personnel expected to testify in court</w:t>
            </w:r>
          </w:p>
        </w:tc>
        <w:tc>
          <w:tcPr>
            <w:tcW w:w="1701" w:type="dxa"/>
          </w:tcPr>
          <w:p w14:paraId="2F536B95" w14:textId="152687B9" w:rsidR="006F3350" w:rsidRPr="000F797C" w:rsidRDefault="006F3350" w:rsidP="006F3350">
            <w:pPr>
              <w:rPr>
                <w:sz w:val="20"/>
                <w:szCs w:val="20"/>
                <w:lang w:val="en-US"/>
              </w:rPr>
            </w:pPr>
            <w:r>
              <w:rPr>
                <w:sz w:val="20"/>
                <w:szCs w:val="20"/>
                <w:lang w:val="en-US"/>
              </w:rPr>
              <w:t>TBD</w:t>
            </w:r>
          </w:p>
        </w:tc>
        <w:tc>
          <w:tcPr>
            <w:tcW w:w="2977" w:type="dxa"/>
          </w:tcPr>
          <w:p w14:paraId="095A576A" w14:textId="77777777" w:rsidR="006F3350" w:rsidRPr="000F797C" w:rsidRDefault="006F3350" w:rsidP="006F3350">
            <w:pPr>
              <w:rPr>
                <w:sz w:val="20"/>
                <w:szCs w:val="20"/>
                <w:lang w:val="en-US"/>
              </w:rPr>
            </w:pPr>
            <w:r w:rsidRPr="000F797C">
              <w:rPr>
                <w:sz w:val="20"/>
                <w:szCs w:val="20"/>
                <w:lang w:val="en-US"/>
              </w:rPr>
              <w:t xml:space="preserve">This advanced course is designed for personnel that have testified in court and wish to improve their overall skills in the courtroom.  Designed for Investigators, Inspectors, Compliance personnel, and anyone else required to testify in course.  This course is not designed for expert witnesses.  The participants will be assigned a case where from which they will prepare notes and complete interviews.  They will testify at a mock trial in a court room setting.  Their testimony will be recorded and supplied to the candidate. </w:t>
            </w:r>
          </w:p>
          <w:p w14:paraId="2E5312BD" w14:textId="77777777" w:rsidR="006F3350" w:rsidRPr="000F797C" w:rsidRDefault="006F3350" w:rsidP="006F3350">
            <w:pPr>
              <w:rPr>
                <w:sz w:val="20"/>
                <w:szCs w:val="20"/>
                <w:lang w:val="en-US"/>
              </w:rPr>
            </w:pPr>
          </w:p>
        </w:tc>
      </w:tr>
      <w:tr w:rsidR="006F3350" w14:paraId="4FD0132A" w14:textId="77777777" w:rsidTr="001B431F">
        <w:tc>
          <w:tcPr>
            <w:tcW w:w="1843" w:type="dxa"/>
          </w:tcPr>
          <w:p w14:paraId="4E65489A" w14:textId="00BA28E1" w:rsidR="006F3350" w:rsidRPr="0082005D" w:rsidRDefault="006F3350" w:rsidP="006F3350">
            <w:pPr>
              <w:rPr>
                <w:sz w:val="20"/>
                <w:szCs w:val="20"/>
                <w:lang w:val="en-US"/>
              </w:rPr>
            </w:pPr>
            <w:r w:rsidRPr="0082005D">
              <w:rPr>
                <w:sz w:val="20"/>
                <w:szCs w:val="20"/>
                <w:lang w:val="en-US"/>
              </w:rPr>
              <w:t xml:space="preserve">Crossing </w:t>
            </w:r>
            <w:proofErr w:type="gramStart"/>
            <w:r w:rsidRPr="0082005D">
              <w:rPr>
                <w:sz w:val="20"/>
                <w:szCs w:val="20"/>
                <w:lang w:val="en-US"/>
              </w:rPr>
              <w:t>The</w:t>
            </w:r>
            <w:proofErr w:type="gramEnd"/>
            <w:r w:rsidRPr="0082005D">
              <w:rPr>
                <w:sz w:val="20"/>
                <w:szCs w:val="20"/>
                <w:lang w:val="en-US"/>
              </w:rPr>
              <w:t xml:space="preserve"> Rubicon</w:t>
            </w:r>
          </w:p>
        </w:tc>
        <w:tc>
          <w:tcPr>
            <w:tcW w:w="1418" w:type="dxa"/>
          </w:tcPr>
          <w:p w14:paraId="1E9F1B55" w14:textId="30889AE0" w:rsidR="006F3350" w:rsidRPr="0082005D" w:rsidRDefault="006F3350" w:rsidP="006F3350">
            <w:pPr>
              <w:rPr>
                <w:sz w:val="20"/>
                <w:szCs w:val="20"/>
                <w:lang w:val="en-US"/>
              </w:rPr>
            </w:pPr>
            <w:r w:rsidRPr="0082005D">
              <w:rPr>
                <w:sz w:val="20"/>
                <w:szCs w:val="20"/>
                <w:lang w:val="en-US"/>
              </w:rPr>
              <w:t>December 2, 2020</w:t>
            </w:r>
          </w:p>
        </w:tc>
        <w:tc>
          <w:tcPr>
            <w:tcW w:w="1134" w:type="dxa"/>
          </w:tcPr>
          <w:p w14:paraId="58E8481F" w14:textId="58840CC1" w:rsidR="006F3350" w:rsidRPr="00B3107A" w:rsidRDefault="006F3350" w:rsidP="006F3350">
            <w:pPr>
              <w:rPr>
                <w:sz w:val="20"/>
                <w:szCs w:val="20"/>
                <w:lang w:val="en-US"/>
              </w:rPr>
            </w:pPr>
            <w:r w:rsidRPr="00B3107A">
              <w:rPr>
                <w:sz w:val="20"/>
                <w:szCs w:val="20"/>
                <w:lang w:val="en-US"/>
              </w:rPr>
              <w:t>1 day</w:t>
            </w:r>
          </w:p>
        </w:tc>
        <w:tc>
          <w:tcPr>
            <w:tcW w:w="1417" w:type="dxa"/>
          </w:tcPr>
          <w:p w14:paraId="6223A899" w14:textId="4A2D2F7A" w:rsidR="006F3350" w:rsidRPr="0082005D" w:rsidRDefault="006F3350" w:rsidP="006F3350">
            <w:pPr>
              <w:rPr>
                <w:sz w:val="20"/>
                <w:szCs w:val="20"/>
                <w:lang w:val="en-US"/>
              </w:rPr>
            </w:pPr>
            <w:r w:rsidRPr="0082005D">
              <w:rPr>
                <w:sz w:val="20"/>
                <w:szCs w:val="20"/>
                <w:lang w:val="en-US"/>
              </w:rPr>
              <w:t>Enforcement and compliance personnel</w:t>
            </w:r>
          </w:p>
        </w:tc>
        <w:tc>
          <w:tcPr>
            <w:tcW w:w="1701" w:type="dxa"/>
          </w:tcPr>
          <w:p w14:paraId="5B2F8EC4" w14:textId="77777777" w:rsidR="006F3350" w:rsidRPr="00BF391D" w:rsidRDefault="006F3350" w:rsidP="006F3350">
            <w:pPr>
              <w:rPr>
                <w:sz w:val="20"/>
                <w:szCs w:val="20"/>
                <w:lang w:val="en-US"/>
              </w:rPr>
            </w:pPr>
            <w:r w:rsidRPr="00BF391D">
              <w:rPr>
                <w:sz w:val="20"/>
                <w:szCs w:val="20"/>
                <w:lang w:val="en-US"/>
              </w:rPr>
              <w:t>Offices of the AGCO, 90 Sheppard Ave. E., Toronto</w:t>
            </w:r>
          </w:p>
          <w:p w14:paraId="0D07DF89" w14:textId="77777777" w:rsidR="006F3350" w:rsidRDefault="006F3350" w:rsidP="006F3350">
            <w:pPr>
              <w:rPr>
                <w:sz w:val="21"/>
                <w:szCs w:val="21"/>
                <w:lang w:val="en-US"/>
              </w:rPr>
            </w:pPr>
          </w:p>
        </w:tc>
        <w:tc>
          <w:tcPr>
            <w:tcW w:w="2977" w:type="dxa"/>
          </w:tcPr>
          <w:p w14:paraId="405ED4B0" w14:textId="77777777" w:rsidR="006F3350" w:rsidRPr="00BF391D" w:rsidRDefault="006F3350" w:rsidP="006F3350">
            <w:pPr>
              <w:rPr>
                <w:sz w:val="20"/>
                <w:szCs w:val="20"/>
                <w:lang w:val="en-US"/>
              </w:rPr>
            </w:pPr>
            <w:r w:rsidRPr="00BF391D">
              <w:rPr>
                <w:sz w:val="20"/>
                <w:szCs w:val="20"/>
                <w:lang w:val="en-US"/>
              </w:rPr>
              <w:t xml:space="preserve">This technical program identifies regulatory actions, criminal actions, and when a regulatory action turns into a criminal investigation. There will be discussions on relevant case law and where we stand today.  </w:t>
            </w:r>
          </w:p>
          <w:p w14:paraId="0217381B" w14:textId="77777777" w:rsidR="006F3350" w:rsidRDefault="006F3350" w:rsidP="006F3350">
            <w:pPr>
              <w:rPr>
                <w:sz w:val="21"/>
                <w:szCs w:val="21"/>
                <w:lang w:val="en-US"/>
              </w:rPr>
            </w:pPr>
          </w:p>
        </w:tc>
      </w:tr>
    </w:tbl>
    <w:p w14:paraId="4E2915C4" w14:textId="14B44960" w:rsidR="00FE7361" w:rsidRDefault="00FE7361">
      <w:pPr>
        <w:rPr>
          <w:sz w:val="21"/>
          <w:szCs w:val="21"/>
          <w:lang w:val="en-US"/>
        </w:rPr>
      </w:pPr>
    </w:p>
    <w:p w14:paraId="4AD2E6F0" w14:textId="77777777" w:rsidR="00253E72" w:rsidRPr="00753498" w:rsidRDefault="00253E72" w:rsidP="00253E72">
      <w:pPr>
        <w:rPr>
          <w:sz w:val="21"/>
          <w:szCs w:val="21"/>
          <w:lang w:val="en-US"/>
        </w:rPr>
      </w:pPr>
      <w:r w:rsidRPr="00251E2C">
        <w:rPr>
          <w:b/>
          <w:sz w:val="28"/>
          <w:szCs w:val="28"/>
          <w:lang w:val="en-US"/>
        </w:rPr>
        <w:t xml:space="preserve">Please contact the RCEC for exclusive delivery of these programs </w:t>
      </w:r>
    </w:p>
    <w:p w14:paraId="636F95CE" w14:textId="0B26B491" w:rsidR="00253E72" w:rsidRDefault="00253E72">
      <w:pPr>
        <w:rPr>
          <w:sz w:val="21"/>
          <w:szCs w:val="21"/>
          <w:lang w:val="en-US"/>
        </w:rPr>
      </w:pPr>
    </w:p>
    <w:sectPr w:rsidR="00253E72" w:rsidSect="00BD7C7E">
      <w:pgSz w:w="12240" w:h="20160" w:code="5"/>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361"/>
    <w:rsid w:val="00007F50"/>
    <w:rsid w:val="00031D6F"/>
    <w:rsid w:val="00035082"/>
    <w:rsid w:val="00052B4F"/>
    <w:rsid w:val="000A5EFA"/>
    <w:rsid w:val="000F797C"/>
    <w:rsid w:val="00104853"/>
    <w:rsid w:val="00113456"/>
    <w:rsid w:val="00153035"/>
    <w:rsid w:val="001549AF"/>
    <w:rsid w:val="001647FA"/>
    <w:rsid w:val="00165526"/>
    <w:rsid w:val="00172CCE"/>
    <w:rsid w:val="001755DA"/>
    <w:rsid w:val="00175A52"/>
    <w:rsid w:val="001B4196"/>
    <w:rsid w:val="001B431F"/>
    <w:rsid w:val="001E1256"/>
    <w:rsid w:val="0021571D"/>
    <w:rsid w:val="002251BC"/>
    <w:rsid w:val="002413A2"/>
    <w:rsid w:val="00253E72"/>
    <w:rsid w:val="00271EF4"/>
    <w:rsid w:val="0027594E"/>
    <w:rsid w:val="00280587"/>
    <w:rsid w:val="00282F6A"/>
    <w:rsid w:val="0029632B"/>
    <w:rsid w:val="002C5CA0"/>
    <w:rsid w:val="002C7A2E"/>
    <w:rsid w:val="00315EEC"/>
    <w:rsid w:val="00333D9A"/>
    <w:rsid w:val="00335D15"/>
    <w:rsid w:val="00345534"/>
    <w:rsid w:val="0035027C"/>
    <w:rsid w:val="003A4383"/>
    <w:rsid w:val="003B4F59"/>
    <w:rsid w:val="003D7962"/>
    <w:rsid w:val="003E2329"/>
    <w:rsid w:val="003E381E"/>
    <w:rsid w:val="003E5CCD"/>
    <w:rsid w:val="003F6280"/>
    <w:rsid w:val="003F7B2D"/>
    <w:rsid w:val="00422270"/>
    <w:rsid w:val="00430A3B"/>
    <w:rsid w:val="0046023B"/>
    <w:rsid w:val="004721D9"/>
    <w:rsid w:val="00495A88"/>
    <w:rsid w:val="004B1AFD"/>
    <w:rsid w:val="004D365B"/>
    <w:rsid w:val="004E036D"/>
    <w:rsid w:val="004E0398"/>
    <w:rsid w:val="004F001D"/>
    <w:rsid w:val="004F3226"/>
    <w:rsid w:val="00500CBF"/>
    <w:rsid w:val="00503B91"/>
    <w:rsid w:val="00504E2E"/>
    <w:rsid w:val="005163EF"/>
    <w:rsid w:val="00523880"/>
    <w:rsid w:val="005314F3"/>
    <w:rsid w:val="00573048"/>
    <w:rsid w:val="00581C04"/>
    <w:rsid w:val="00582B12"/>
    <w:rsid w:val="005E1DC1"/>
    <w:rsid w:val="005E5946"/>
    <w:rsid w:val="00613BC7"/>
    <w:rsid w:val="0063558D"/>
    <w:rsid w:val="00635D4E"/>
    <w:rsid w:val="00650CE9"/>
    <w:rsid w:val="00655857"/>
    <w:rsid w:val="00675BB9"/>
    <w:rsid w:val="006760E2"/>
    <w:rsid w:val="00697F2C"/>
    <w:rsid w:val="006A4383"/>
    <w:rsid w:val="006A65D7"/>
    <w:rsid w:val="006B4A70"/>
    <w:rsid w:val="006C2681"/>
    <w:rsid w:val="006D4611"/>
    <w:rsid w:val="006D7194"/>
    <w:rsid w:val="006E3674"/>
    <w:rsid w:val="006F3350"/>
    <w:rsid w:val="007344F3"/>
    <w:rsid w:val="0074001C"/>
    <w:rsid w:val="00753498"/>
    <w:rsid w:val="007615BD"/>
    <w:rsid w:val="00762781"/>
    <w:rsid w:val="00763E99"/>
    <w:rsid w:val="00765F61"/>
    <w:rsid w:val="00772855"/>
    <w:rsid w:val="00775BF6"/>
    <w:rsid w:val="007924E0"/>
    <w:rsid w:val="007A0EB2"/>
    <w:rsid w:val="007A3E14"/>
    <w:rsid w:val="007B37CA"/>
    <w:rsid w:val="007D5BAA"/>
    <w:rsid w:val="007E100A"/>
    <w:rsid w:val="0082005D"/>
    <w:rsid w:val="008207B8"/>
    <w:rsid w:val="00820B73"/>
    <w:rsid w:val="00822022"/>
    <w:rsid w:val="00861DF1"/>
    <w:rsid w:val="0087605A"/>
    <w:rsid w:val="008A7184"/>
    <w:rsid w:val="008B37F7"/>
    <w:rsid w:val="008B79C4"/>
    <w:rsid w:val="008C26C2"/>
    <w:rsid w:val="008F18AD"/>
    <w:rsid w:val="0093788A"/>
    <w:rsid w:val="00946C7B"/>
    <w:rsid w:val="00956070"/>
    <w:rsid w:val="00974A01"/>
    <w:rsid w:val="00976CBE"/>
    <w:rsid w:val="009A7B4F"/>
    <w:rsid w:val="009C4D1C"/>
    <w:rsid w:val="009C5D1B"/>
    <w:rsid w:val="009E53F5"/>
    <w:rsid w:val="009F45C0"/>
    <w:rsid w:val="00A10878"/>
    <w:rsid w:val="00A26896"/>
    <w:rsid w:val="00A471DF"/>
    <w:rsid w:val="00A52EFB"/>
    <w:rsid w:val="00A65C81"/>
    <w:rsid w:val="00A93B82"/>
    <w:rsid w:val="00A97560"/>
    <w:rsid w:val="00AC05B9"/>
    <w:rsid w:val="00AD564F"/>
    <w:rsid w:val="00AF296E"/>
    <w:rsid w:val="00B3107A"/>
    <w:rsid w:val="00B311D8"/>
    <w:rsid w:val="00B46560"/>
    <w:rsid w:val="00B60D4A"/>
    <w:rsid w:val="00B86C3A"/>
    <w:rsid w:val="00BA5884"/>
    <w:rsid w:val="00BC3EEB"/>
    <w:rsid w:val="00BD7C7E"/>
    <w:rsid w:val="00BE6797"/>
    <w:rsid w:val="00BF026E"/>
    <w:rsid w:val="00BF391D"/>
    <w:rsid w:val="00C17B90"/>
    <w:rsid w:val="00C34CAD"/>
    <w:rsid w:val="00C4108F"/>
    <w:rsid w:val="00C42372"/>
    <w:rsid w:val="00C448FA"/>
    <w:rsid w:val="00C50297"/>
    <w:rsid w:val="00C7154F"/>
    <w:rsid w:val="00C71BE4"/>
    <w:rsid w:val="00C75E35"/>
    <w:rsid w:val="00C929C8"/>
    <w:rsid w:val="00C92FC4"/>
    <w:rsid w:val="00C9682A"/>
    <w:rsid w:val="00CA411B"/>
    <w:rsid w:val="00CF05EC"/>
    <w:rsid w:val="00CF14C4"/>
    <w:rsid w:val="00D00648"/>
    <w:rsid w:val="00D316B0"/>
    <w:rsid w:val="00D454E1"/>
    <w:rsid w:val="00D53415"/>
    <w:rsid w:val="00DB5A19"/>
    <w:rsid w:val="00E01371"/>
    <w:rsid w:val="00E02AEA"/>
    <w:rsid w:val="00E302B9"/>
    <w:rsid w:val="00E30413"/>
    <w:rsid w:val="00E30E31"/>
    <w:rsid w:val="00E41AC6"/>
    <w:rsid w:val="00E42642"/>
    <w:rsid w:val="00E45DF9"/>
    <w:rsid w:val="00E51991"/>
    <w:rsid w:val="00E53827"/>
    <w:rsid w:val="00E73295"/>
    <w:rsid w:val="00E848F4"/>
    <w:rsid w:val="00E87601"/>
    <w:rsid w:val="00E9097A"/>
    <w:rsid w:val="00EE1FDE"/>
    <w:rsid w:val="00F5029C"/>
    <w:rsid w:val="00F65EEB"/>
    <w:rsid w:val="00F8426A"/>
    <w:rsid w:val="00FB0819"/>
    <w:rsid w:val="00FC14C3"/>
    <w:rsid w:val="00FC73D5"/>
    <w:rsid w:val="00FD780A"/>
    <w:rsid w:val="00FE1C9E"/>
    <w:rsid w:val="00FE7361"/>
    <w:rsid w:val="00FF3A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0CE9"/>
  <w15:docId w15:val="{488DAA9A-397F-4E26-B843-9E28F29B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7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5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D15"/>
    <w:rPr>
      <w:rFonts w:ascii="Tahoma" w:hAnsi="Tahoma" w:cs="Tahoma"/>
      <w:sz w:val="16"/>
      <w:szCs w:val="16"/>
    </w:rPr>
  </w:style>
  <w:style w:type="paragraph" w:styleId="NormalWeb">
    <w:name w:val="Normal (Web)"/>
    <w:basedOn w:val="Normal"/>
    <w:uiPriority w:val="99"/>
    <w:semiHidden/>
    <w:unhideWhenUsed/>
    <w:rsid w:val="0093788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ox-327a5fae2c-msonormal">
    <w:name w:val="ox-327a5fae2c-msonormal"/>
    <w:basedOn w:val="Normal"/>
    <w:rsid w:val="001E125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041321">
      <w:bodyDiv w:val="1"/>
      <w:marLeft w:val="0"/>
      <w:marRight w:val="0"/>
      <w:marTop w:val="0"/>
      <w:marBottom w:val="0"/>
      <w:divBdr>
        <w:top w:val="none" w:sz="0" w:space="0" w:color="auto"/>
        <w:left w:val="none" w:sz="0" w:space="0" w:color="auto"/>
        <w:bottom w:val="none" w:sz="0" w:space="0" w:color="auto"/>
        <w:right w:val="none" w:sz="0" w:space="0" w:color="auto"/>
      </w:divBdr>
      <w:divsChild>
        <w:div w:id="390886169">
          <w:marLeft w:val="0"/>
          <w:marRight w:val="0"/>
          <w:marTop w:val="0"/>
          <w:marBottom w:val="0"/>
          <w:divBdr>
            <w:top w:val="none" w:sz="0" w:space="0" w:color="auto"/>
            <w:left w:val="none" w:sz="0" w:space="0" w:color="auto"/>
            <w:bottom w:val="none" w:sz="0" w:space="0" w:color="auto"/>
            <w:right w:val="none" w:sz="0" w:space="0" w:color="auto"/>
          </w:divBdr>
        </w:div>
      </w:divsChild>
    </w:div>
    <w:div w:id="11301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T Molica</cp:lastModifiedBy>
  <cp:revision>2</cp:revision>
  <cp:lastPrinted>2020-02-27T14:25:00Z</cp:lastPrinted>
  <dcterms:created xsi:type="dcterms:W3CDTF">2020-05-24T22:15:00Z</dcterms:created>
  <dcterms:modified xsi:type="dcterms:W3CDTF">2020-05-24T22:15:00Z</dcterms:modified>
</cp:coreProperties>
</file>